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12 | Follow-Up Readiness Checklist</w:t>
      </w:r>
    </w:p>
    <w:p>
      <w:pPr>
        <w:jc w:val="center"/>
      </w:pPr>
      <w:r>
        <w:rPr>
          <w:i/>
        </w:rPr>
        <w:t>Make every follow-up intentional.</w:t>
      </w:r>
    </w:p>
    <w:p>
      <w:pPr>
        <w:pStyle w:val="Heading1"/>
      </w:pPr>
      <w:r>
        <w:rPr>
          <w:color w:val="6C3FC5"/>
        </w:rPr>
        <w:t>Before Sending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I know why I am following up.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The timing is appropriate.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reviewed the previous conversation/application.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My message is personalised.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My desired next step is clear.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Names, dates and role details are correct.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After Sending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I logged the message.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recorded the follow-up date.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know what I will do if there is no response.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  <w:tr>
        <w:tc>
          <w:tcPr>
            <w:tcW w:type="dxa" w:w="4320"/>
          </w:tcPr>
          <w:p>
            <w:r>
              <w:t>I will avoid unnecessary repeated messages.</w:t>
            </w:r>
          </w:p>
        </w:tc>
        <w:tc>
          <w:tcPr>
            <w:tcW w:type="dxa" w:w="4320"/>
          </w:tcPr>
          <w:p>
            <w:r>
              <w:t>☐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