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D15-R01 Career Search Review Guide</w:t>
      </w:r>
    </w:p>
    <w:p>
      <w:pPr>
        <w:jc w:val="center"/>
      </w:pPr>
      <w:r>
        <w:rPr>
          <w:i/>
          <w:color w:val="666666"/>
          <w:sz w:val="20"/>
        </w:rPr>
        <w:t>Close the 15-day sprint with clarity, evidence and a repeatable system</w:t>
      </w:r>
    </w:p>
    <w:p>
      <w:r>
        <w:rPr>
          <w:b/>
          <w:color w:val="6C3FC5"/>
          <w:sz w:val="28"/>
        </w:rPr>
        <w:t>Day 15 Mission</w:t>
      </w:r>
    </w:p>
    <w:p>
      <w:r>
        <w:t>Step out of the 15-day sprint with a clear picture of what changed, what worked, what needs improvement, what is still active, and what you will do over the next 30 days.</w:t>
      </w:r>
    </w:p>
    <w:p>
      <w:r>
        <w:rPr>
          <w:b/>
          <w:color w:val="6C3FC5"/>
          <w:sz w:val="28"/>
        </w:rPr>
        <w:t>The Final Review Framework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Step</w:t>
            </w:r>
          </w:p>
        </w:tc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Question</w:t>
            </w:r>
          </w:p>
        </w:tc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Output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1. Measure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What did I actually do?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Activity record</w:t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2. Review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What moved and what did not?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Pipeline review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3. Learn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What patterns did I discover?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Key lessons</w:t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4. Refine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What will I stop, start or continue?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Search strategy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5. Plan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What will I execute over 30 days?</w:t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  <w:t>30-day plan</w:t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6. Commit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How will I stay accountable?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  <w:t>Weekly rhythm</w:t>
            </w:r>
          </w:p>
        </w:tc>
      </w:tr>
    </w:tbl>
    <w:p>
      <w:r>
        <w:rPr>
          <w:b/>
          <w:color w:val="6C3FC5"/>
          <w:sz w:val="28"/>
        </w:rPr>
        <w:t>Review These Areas</w:t>
      </w:r>
    </w:p>
    <w:p>
      <w:pPr>
        <w:pStyle w:val="ListBullet"/>
        <w:spacing w:after="40"/>
      </w:pPr>
      <w:r>
        <w:t>Target roles and positioning</w:t>
      </w:r>
    </w:p>
    <w:p>
      <w:pPr>
        <w:pStyle w:val="ListBullet"/>
        <w:spacing w:after="40"/>
      </w:pPr>
      <w:r>
        <w:t>CV and LinkedIn performance</w:t>
      </w:r>
    </w:p>
    <w:p>
      <w:pPr>
        <w:pStyle w:val="ListBullet"/>
        <w:spacing w:after="40"/>
      </w:pPr>
      <w:r>
        <w:t>Opportunity pipeline</w:t>
      </w:r>
    </w:p>
    <w:p>
      <w:pPr>
        <w:pStyle w:val="ListBullet"/>
        <w:spacing w:after="40"/>
      </w:pPr>
      <w:r>
        <w:t>Applications and response patterns</w:t>
      </w:r>
    </w:p>
    <w:p>
      <w:pPr>
        <w:pStyle w:val="ListBullet"/>
        <w:spacing w:after="40"/>
      </w:pPr>
      <w:r>
        <w:t>Networking and referrals</w:t>
      </w:r>
    </w:p>
    <w:p>
      <w:pPr>
        <w:pStyle w:val="ListBullet"/>
        <w:spacing w:after="40"/>
      </w:pPr>
      <w:r>
        <w:t>Visibility and evidence</w:t>
      </w:r>
    </w:p>
    <w:p>
      <w:pPr>
        <w:pStyle w:val="ListBullet"/>
        <w:spacing w:after="40"/>
      </w:pPr>
      <w:r>
        <w:t>Interviews and assessments</w:t>
      </w:r>
    </w:p>
    <w:p>
      <w:pPr>
        <w:pStyle w:val="ListBullet"/>
        <w:spacing w:after="40"/>
      </w:pPr>
      <w:r>
        <w:t>Follow-ups and conversion activity</w:t>
      </w:r>
    </w:p>
    <w:p>
      <w:pPr>
        <w:pStyle w:val="ListBullet"/>
        <w:spacing w:after="40"/>
      </w:pPr>
      <w:r>
        <w:t>Time spent vs meaningful progress</w:t>
      </w:r>
    </w:p>
    <w:p>
      <w:r>
        <w:rPr>
          <w:b/>
          <w:color w:val="6C3FC5"/>
          <w:sz w:val="28"/>
        </w:rPr>
        <w:t>The Stop / Start / Continue Review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STOP</w:t>
            </w:r>
          </w:p>
        </w:tc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START</w:t>
            </w:r>
          </w:p>
        </w:tc>
        <w:tc>
          <w:tcPr>
            <w:tcW w:type="dxa" w:w="2880"/>
            <w:vAlign w:val="center"/>
            <w:shd w:fill="6C3FC5"/>
          </w:tcPr>
          <w:p>
            <w:r/>
            <w:r>
              <w:rPr>
                <w:b/>
                <w:color w:val="FFFFFF"/>
                <w:sz w:val="20"/>
              </w:rPr>
              <w:t>CONTINUE</w:t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  <w:tr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  <w:tc>
          <w:tcPr>
            <w:tcW w:type="dxa" w:w="2880"/>
            <w:vAlign w:val="center"/>
            <w:shd w:fill="F8F6FC"/>
          </w:tcPr>
          <w:p>
            <w:r/>
            <w:r>
              <w:rPr>
                <w:b w:val="0"/>
                <w:color w:val="222222"/>
                <w:sz w:val="20"/>
              </w:rPr>
            </w:r>
          </w:p>
        </w:tc>
      </w:tr>
    </w:tbl>
    <w:p>
      <w:r>
        <w:rPr>
          <w:b/>
          <w:color w:val="6C3FC5"/>
          <w:sz w:val="28"/>
        </w:rPr>
        <w:t>Final Deliverable</w:t>
      </w:r>
    </w:p>
    <w:p>
      <w:pPr>
        <w:pStyle w:val="ListBullet"/>
        <w:spacing w:after="40"/>
      </w:pPr>
      <w:r>
        <w:t>A reviewed opportunity pipeline</w:t>
      </w:r>
    </w:p>
    <w:p>
      <w:pPr>
        <w:pStyle w:val="ListBullet"/>
        <w:spacing w:after="40"/>
      </w:pPr>
      <w:r>
        <w:t>A record of measurable activity</w:t>
      </w:r>
    </w:p>
    <w:p>
      <w:pPr>
        <w:pStyle w:val="ListBullet"/>
        <w:spacing w:after="40"/>
      </w:pPr>
      <w:r>
        <w:t>Three to five key lessons</w:t>
      </w:r>
    </w:p>
    <w:p>
      <w:pPr>
        <w:pStyle w:val="ListBullet"/>
        <w:spacing w:after="40"/>
      </w:pPr>
      <w:r>
        <w:t>A refined job-search strategy</w:t>
      </w:r>
    </w:p>
    <w:p>
      <w:pPr>
        <w:pStyle w:val="ListBullet"/>
        <w:spacing w:after="40"/>
      </w:pPr>
      <w:r>
        <w:t>A completed 30-day execution plan</w:t>
      </w:r>
    </w:p>
    <w:p>
      <w:pPr>
        <w:pStyle w:val="ListBullet"/>
        <w:spacing w:after="40"/>
      </w:pPr>
      <w:r>
        <w:t>A personal accountability routine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