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C3FC5"/>
          <w:sz w:val="40"/>
        </w:rPr>
        <w:t>D14-R01 Opportunity Conversion Guide</w:t>
      </w:r>
    </w:p>
    <w:p>
      <w:pPr>
        <w:jc w:val="center"/>
      </w:pPr>
      <w:r>
        <w:rPr>
          <w:i/>
          <w:color w:val="666666"/>
          <w:sz w:val="20"/>
        </w:rPr>
        <w:t>From interview / assessment to a clear next step, offer, or informed decision</w:t>
      </w:r>
    </w:p>
    <w:p>
      <w:r>
        <w:rPr>
          <w:b/>
          <w:color w:val="6C3FC5"/>
          <w:sz w:val="28"/>
        </w:rPr>
        <w:t>Day 14 Mission</w:t>
      </w:r>
    </w:p>
    <w:p>
      <w:r>
        <w:t>Move from “I have an opportunity” to “I know exactly what to do next.” Day 14 is about converting active opportunities into concrete outcomes while learning from every stage of the process.</w:t>
      </w:r>
    </w:p>
    <w:p>
      <w:r>
        <w:rPr>
          <w:b/>
          <w:color w:val="6C3FC5"/>
          <w:sz w:val="28"/>
        </w:rPr>
        <w:t>The Conversion Framework</w:t>
      </w:r>
    </w:p>
    <w:tbl>
      <w:tblPr>
        <w:tblStyle w:val="TableGrid"/>
        <w:tblW w:type="auto" w:w="0"/>
        <w:jc w:val="center"/>
        <w:tblLook w:firstColumn="1" w:firstRow="1" w:lastColumn="0" w:lastRow="0" w:noHBand="0" w:noVBand="1" w:val="04A0"/>
      </w:tblPr>
      <w:tblGrid>
        <w:gridCol w:w="2880"/>
        <w:gridCol w:w="2880"/>
        <w:gridCol w:w="2880"/>
      </w:tblGrid>
      <w:tr>
        <w:tc>
          <w:tcPr>
            <w:tcW w:type="dxa" w:w="2880"/>
            <w:vAlign w:val="center"/>
            <w:shd w:fill="6C3FC5"/>
          </w:tcPr>
          <w:p>
            <w:r/>
            <w:r>
              <w:rPr>
                <w:b/>
                <w:color w:val="FFFFFF"/>
                <w:sz w:val="20"/>
              </w:rPr>
              <w:t>Stage</w:t>
            </w:r>
          </w:p>
        </w:tc>
        <w:tc>
          <w:tcPr>
            <w:tcW w:type="dxa" w:w="2880"/>
            <w:vAlign w:val="center"/>
            <w:shd w:fill="6C3FC5"/>
          </w:tcPr>
          <w:p>
            <w:r/>
            <w:r>
              <w:rPr>
                <w:b/>
                <w:color w:val="FFFFFF"/>
                <w:sz w:val="20"/>
              </w:rPr>
              <w:t>What to do</w:t>
            </w:r>
          </w:p>
        </w:tc>
        <w:tc>
          <w:tcPr>
            <w:tcW w:type="dxa" w:w="2880"/>
            <w:vAlign w:val="center"/>
            <w:shd w:fill="6C3FC5"/>
          </w:tcPr>
          <w:p>
            <w:r/>
            <w:r>
              <w:rPr>
                <w:b/>
                <w:color w:val="FFFFFF"/>
                <w:sz w:val="20"/>
              </w:rPr>
              <w:t>Output</w:t>
            </w:r>
          </w:p>
        </w:tc>
      </w:tr>
      <w:tr>
        <w:tc>
          <w:tcPr>
            <w:tcW w:type="dxa" w:w="2880"/>
            <w:vAlign w:val="center"/>
            <w:shd w:fill="F8F6FC"/>
          </w:tcPr>
          <w:p>
            <w:r/>
            <w:r>
              <w:rPr>
                <w:b w:val="0"/>
                <w:color w:val="222222"/>
                <w:sz w:val="20"/>
              </w:rPr>
              <w:t>1. Debrief</w:t>
            </w:r>
          </w:p>
        </w:tc>
        <w:tc>
          <w:tcPr>
            <w:tcW w:type="dxa" w:w="2880"/>
            <w:vAlign w:val="center"/>
            <w:shd w:fill="F8F6FC"/>
          </w:tcPr>
          <w:p>
            <w:r/>
            <w:r>
              <w:rPr>
                <w:b w:val="0"/>
                <w:color w:val="222222"/>
                <w:sz w:val="20"/>
              </w:rPr>
              <w:t>Capture what happened while it is still fresh.</w:t>
            </w:r>
          </w:p>
        </w:tc>
        <w:tc>
          <w:tcPr>
            <w:tcW w:type="dxa" w:w="2880"/>
            <w:vAlign w:val="center"/>
            <w:shd w:fill="F8F6FC"/>
          </w:tcPr>
          <w:p>
            <w:r/>
            <w:r>
              <w:rPr>
                <w:b w:val="0"/>
                <w:color w:val="222222"/>
                <w:sz w:val="20"/>
              </w:rPr>
              <w:t>Debrief notes + lessons</w:t>
            </w:r>
          </w:p>
        </w:tc>
      </w:tr>
      <w:tr>
        <w:tc>
          <w:tcPr>
            <w:tcW w:type="dxa" w:w="2880"/>
            <w:vAlign w:val="center"/>
          </w:tcPr>
          <w:p>
            <w:r/>
            <w:r>
              <w:rPr>
                <w:b w:val="0"/>
                <w:color w:val="222222"/>
                <w:sz w:val="20"/>
              </w:rPr>
              <w:t>2. Reinforce</w:t>
            </w:r>
          </w:p>
        </w:tc>
        <w:tc>
          <w:tcPr>
            <w:tcW w:type="dxa" w:w="2880"/>
            <w:vAlign w:val="center"/>
          </w:tcPr>
          <w:p>
            <w:r/>
            <w:r>
              <w:rPr>
                <w:b w:val="0"/>
                <w:color w:val="222222"/>
                <w:sz w:val="20"/>
              </w:rPr>
              <w:t>Send the right post-interview / assessment follow-up.</w:t>
            </w:r>
          </w:p>
        </w:tc>
        <w:tc>
          <w:tcPr>
            <w:tcW w:type="dxa" w:w="2880"/>
            <w:vAlign w:val="center"/>
          </w:tcPr>
          <w:p>
            <w:r/>
            <w:r>
              <w:rPr>
                <w:b w:val="0"/>
                <w:color w:val="222222"/>
                <w:sz w:val="20"/>
              </w:rPr>
              <w:t>Professional follow-up sent</w:t>
            </w:r>
          </w:p>
        </w:tc>
      </w:tr>
      <w:tr>
        <w:tc>
          <w:tcPr>
            <w:tcW w:type="dxa" w:w="2880"/>
            <w:vAlign w:val="center"/>
            <w:shd w:fill="F8F6FC"/>
          </w:tcPr>
          <w:p>
            <w:r/>
            <w:r>
              <w:rPr>
                <w:b w:val="0"/>
                <w:color w:val="222222"/>
                <w:sz w:val="20"/>
              </w:rPr>
              <w:t>3. Clarify</w:t>
            </w:r>
          </w:p>
        </w:tc>
        <w:tc>
          <w:tcPr>
            <w:tcW w:type="dxa" w:w="2880"/>
            <w:vAlign w:val="center"/>
            <w:shd w:fill="F8F6FC"/>
          </w:tcPr>
          <w:p>
            <w:r/>
            <w:r>
              <w:rPr>
                <w:b w:val="0"/>
                <w:color w:val="222222"/>
                <w:sz w:val="20"/>
              </w:rPr>
              <w:t>Understand next steps, timelines and outstanding requirements.</w:t>
            </w:r>
          </w:p>
        </w:tc>
        <w:tc>
          <w:tcPr>
            <w:tcW w:type="dxa" w:w="2880"/>
            <w:vAlign w:val="center"/>
            <w:shd w:fill="F8F6FC"/>
          </w:tcPr>
          <w:p>
            <w:r/>
            <w:r>
              <w:rPr>
                <w:b w:val="0"/>
                <w:color w:val="222222"/>
                <w:sz w:val="20"/>
              </w:rPr>
              <w:t>Clear next action</w:t>
            </w:r>
          </w:p>
        </w:tc>
      </w:tr>
      <w:tr>
        <w:tc>
          <w:tcPr>
            <w:tcW w:type="dxa" w:w="2880"/>
            <w:vAlign w:val="center"/>
          </w:tcPr>
          <w:p>
            <w:r/>
            <w:r>
              <w:rPr>
                <w:b w:val="0"/>
                <w:color w:val="222222"/>
                <w:sz w:val="20"/>
              </w:rPr>
              <w:t>4. Prepare</w:t>
            </w:r>
          </w:p>
        </w:tc>
        <w:tc>
          <w:tcPr>
            <w:tcW w:type="dxa" w:w="2880"/>
            <w:vAlign w:val="center"/>
          </w:tcPr>
          <w:p>
            <w:r/>
            <w:r>
              <w:rPr>
                <w:b w:val="0"/>
                <w:color w:val="222222"/>
                <w:sz w:val="20"/>
              </w:rPr>
              <w:t>Get ready for the next stage, negotiation or decision.</w:t>
            </w:r>
          </w:p>
        </w:tc>
        <w:tc>
          <w:tcPr>
            <w:tcW w:type="dxa" w:w="2880"/>
            <w:vAlign w:val="center"/>
          </w:tcPr>
          <w:p>
            <w:r/>
            <w:r>
              <w:rPr>
                <w:b w:val="0"/>
                <w:color w:val="222222"/>
                <w:sz w:val="20"/>
              </w:rPr>
              <w:t>Conversion plan</w:t>
            </w:r>
          </w:p>
        </w:tc>
      </w:tr>
      <w:tr>
        <w:tc>
          <w:tcPr>
            <w:tcW w:type="dxa" w:w="2880"/>
            <w:vAlign w:val="center"/>
            <w:shd w:fill="F8F6FC"/>
          </w:tcPr>
          <w:p>
            <w:r/>
            <w:r>
              <w:rPr>
                <w:b w:val="0"/>
                <w:color w:val="222222"/>
                <w:sz w:val="20"/>
              </w:rPr>
              <w:t>5. Evaluate</w:t>
            </w:r>
          </w:p>
        </w:tc>
        <w:tc>
          <w:tcPr>
            <w:tcW w:type="dxa" w:w="2880"/>
            <w:vAlign w:val="center"/>
            <w:shd w:fill="F8F6FC"/>
          </w:tcPr>
          <w:p>
            <w:r/>
            <w:r>
              <w:rPr>
                <w:b w:val="0"/>
                <w:color w:val="222222"/>
                <w:sz w:val="20"/>
              </w:rPr>
              <w:t>If an offer arrives, assess the whole opportunity—not just salary.</w:t>
            </w:r>
          </w:p>
        </w:tc>
        <w:tc>
          <w:tcPr>
            <w:tcW w:type="dxa" w:w="2880"/>
            <w:vAlign w:val="center"/>
            <w:shd w:fill="F8F6FC"/>
          </w:tcPr>
          <w:p>
            <w:r/>
            <w:r>
              <w:rPr>
                <w:b w:val="0"/>
                <w:color w:val="222222"/>
                <w:sz w:val="20"/>
              </w:rPr>
              <w:t>Decision matrix</w:t>
            </w:r>
          </w:p>
        </w:tc>
      </w:tr>
      <w:tr>
        <w:tc>
          <w:tcPr>
            <w:tcW w:type="dxa" w:w="2880"/>
            <w:vAlign w:val="center"/>
          </w:tcPr>
          <w:p>
            <w:r/>
            <w:r>
              <w:rPr>
                <w:b w:val="0"/>
                <w:color w:val="222222"/>
                <w:sz w:val="20"/>
              </w:rPr>
              <w:t>6. Negotiate</w:t>
            </w:r>
          </w:p>
        </w:tc>
        <w:tc>
          <w:tcPr>
            <w:tcW w:type="dxa" w:w="2880"/>
            <w:vAlign w:val="center"/>
          </w:tcPr>
          <w:p>
            <w:r/>
            <w:r>
              <w:rPr>
                <w:b w:val="0"/>
                <w:color w:val="222222"/>
                <w:sz w:val="20"/>
              </w:rPr>
              <w:t>Prepare a clear, evidence-based request where appropriate.</w:t>
            </w:r>
          </w:p>
        </w:tc>
        <w:tc>
          <w:tcPr>
            <w:tcW w:type="dxa" w:w="2880"/>
            <w:vAlign w:val="center"/>
          </w:tcPr>
          <w:p>
            <w:r/>
            <w:r>
              <w:rPr>
                <w:b w:val="0"/>
                <w:color w:val="222222"/>
                <w:sz w:val="20"/>
              </w:rPr>
              <w:t>Negotiation plan</w:t>
            </w:r>
          </w:p>
        </w:tc>
      </w:tr>
      <w:tr>
        <w:tc>
          <w:tcPr>
            <w:tcW w:type="dxa" w:w="2880"/>
            <w:vAlign w:val="center"/>
            <w:shd w:fill="F8F6FC"/>
          </w:tcPr>
          <w:p>
            <w:r/>
            <w:r>
              <w:rPr>
                <w:b w:val="0"/>
                <w:color w:val="222222"/>
                <w:sz w:val="20"/>
              </w:rPr>
              <w:t>7. Close the loop</w:t>
            </w:r>
          </w:p>
        </w:tc>
        <w:tc>
          <w:tcPr>
            <w:tcW w:type="dxa" w:w="2880"/>
            <w:vAlign w:val="center"/>
            <w:shd w:fill="F8F6FC"/>
          </w:tcPr>
          <w:p>
            <w:r/>
            <w:r>
              <w:rPr>
                <w:b w:val="0"/>
                <w:color w:val="222222"/>
                <w:sz w:val="20"/>
              </w:rPr>
              <w:t>Accept, decline, continue, or archive with professionalism.</w:t>
            </w:r>
          </w:p>
        </w:tc>
        <w:tc>
          <w:tcPr>
            <w:tcW w:type="dxa" w:w="2880"/>
            <w:vAlign w:val="center"/>
            <w:shd w:fill="F8F6FC"/>
          </w:tcPr>
          <w:p>
            <w:r/>
            <w:r>
              <w:rPr>
                <w:b w:val="0"/>
                <w:color w:val="222222"/>
                <w:sz w:val="20"/>
              </w:rPr>
              <w:t>Outcome recorded</w:t>
            </w:r>
          </w:p>
        </w:tc>
      </w:tr>
    </w:tbl>
    <w:p>
      <w:r>
        <w:rPr>
          <w:b/>
          <w:color w:val="6C3FC5"/>
          <w:sz w:val="28"/>
        </w:rPr>
        <w:t>Conversion Does Not Mean Only Getting an Offer</w:t>
      </w:r>
    </w:p>
    <w:p>
      <w:pPr>
        <w:pStyle w:val="ListBullet"/>
        <w:spacing w:after="40"/>
      </w:pPr>
      <w:r>
        <w:t>Interview → next stage</w:t>
      </w:r>
    </w:p>
    <w:p>
      <w:pPr>
        <w:pStyle w:val="ListBullet"/>
        <w:spacing w:after="40"/>
      </w:pPr>
      <w:r>
        <w:t>Assessment → interview</w:t>
      </w:r>
    </w:p>
    <w:p>
      <w:pPr>
        <w:pStyle w:val="ListBullet"/>
        <w:spacing w:after="40"/>
      </w:pPr>
      <w:r>
        <w:t>Referral → hiring conversation</w:t>
      </w:r>
    </w:p>
    <w:p>
      <w:pPr>
        <w:pStyle w:val="ListBullet"/>
        <w:spacing w:after="40"/>
      </w:pPr>
      <w:r>
        <w:t>Recruiter conversation → application / screening</w:t>
      </w:r>
    </w:p>
    <w:p>
      <w:pPr>
        <w:pStyle w:val="ListBullet"/>
        <w:spacing w:after="40"/>
      </w:pPr>
      <w:r>
        <w:t>Interview → offer</w:t>
      </w:r>
    </w:p>
    <w:p>
      <w:pPr>
        <w:pStyle w:val="ListBullet"/>
        <w:spacing w:after="40"/>
      </w:pPr>
      <w:r>
        <w:t>Offer → informed acceptance or professional decline</w:t>
      </w:r>
    </w:p>
    <w:p>
      <w:pPr>
        <w:pStyle w:val="ListBullet"/>
        <w:spacing w:after="40"/>
      </w:pPr>
      <w:r>
        <w:t>Rejection → useful feedback, learning and pipeline improvement</w:t>
      </w:r>
    </w:p>
    <w:p>
      <w:r>
        <w:rPr>
          <w:b/>
          <w:color w:val="6C3FC5"/>
          <w:sz w:val="28"/>
        </w:rPr>
        <w:t>Your Day 14 Deliverable</w:t>
      </w:r>
    </w:p>
    <w:p>
      <w:pPr>
        <w:pStyle w:val="ListBullet"/>
        <w:spacing w:after="40"/>
      </w:pPr>
      <w:r>
        <w:t>Debrief at least one active opportunity.</w:t>
      </w:r>
    </w:p>
    <w:p>
      <w:pPr>
        <w:pStyle w:val="ListBullet"/>
        <w:spacing w:after="40"/>
      </w:pPr>
      <w:r>
        <w:t>Send any appropriate post-interview or assessment follow-up.</w:t>
      </w:r>
    </w:p>
    <w:p>
      <w:pPr>
        <w:pStyle w:val="ListBullet"/>
        <w:spacing w:after="40"/>
      </w:pPr>
      <w:r>
        <w:t>Define the next action and date for every active opportunity.</w:t>
      </w:r>
    </w:p>
    <w:p>
      <w:pPr>
        <w:pStyle w:val="ListBullet"/>
        <w:spacing w:after="40"/>
      </w:pPr>
      <w:r>
        <w:t>Prepare an offer evaluation framework before you need it.</w:t>
      </w:r>
    </w:p>
    <w:p>
      <w:pPr>
        <w:pStyle w:val="ListBullet"/>
        <w:spacing w:after="40"/>
      </w:pPr>
      <w:r>
        <w:t>Prepare a negotiation position for any live offer.</w:t>
      </w:r>
    </w:p>
    <w:p>
      <w:pPr>
        <w:pStyle w:val="ListBullet"/>
        <w:spacing w:after="40"/>
      </w:pPr>
      <w:r>
        <w:t>Record the outcome and lesson in the Opportunity Outcome Tracker.</w:t>
      </w:r>
    </w:p>
    <w:p>
      <w:r>
        <w:rPr>
          <w:b/>
          <w:color w:val="6C3FC5"/>
          <w:sz w:val="28"/>
        </w:rPr>
        <w:t>Important Rule</w:t>
      </w:r>
    </w:p>
    <w:p>
      <w:r>
        <w:t>Do not confuse activity with conversion. The goal is not to send more messages. The goal is to make each active opportunity clearer, stronger and easier to move forward.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