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| Day 11 Resources</w:t>
      </w:r>
    </w:p>
    <w:p>
      <w:pPr>
        <w:jc w:val="center"/>
      </w:pPr>
      <w:r>
        <w:rPr>
          <w:i/>
        </w:rPr>
        <w:t>PIPELINE REVIEW — Stop being busy. Start being deliberate.</w:t>
      </w:r>
    </w:p>
    <w:p>
      <w:pPr>
        <w:pStyle w:val="Heading1"/>
      </w:pPr>
      <w:r>
        <w:rPr>
          <w:color w:val="6C3FC5"/>
        </w:rPr>
        <w:t>Mission</w:t>
      </w:r>
    </w:p>
    <w:p>
      <w:r>
        <w:t>Review the opportunity pipeline, remove weak or stale opportunities, prioritise the strongest active opportunities and decide exactly what happens next.</w:t>
      </w:r>
    </w:p>
    <w:p>
      <w:pPr>
        <w:pStyle w:val="Heading1"/>
      </w:pPr>
      <w:r>
        <w:rPr>
          <w:color w:val="6C3FC5"/>
        </w:rPr>
        <w:t>Outcome</w:t>
      </w:r>
    </w:p>
    <w:p>
      <w:pPr>
        <w:pStyle w:val="ListBullet"/>
      </w:pPr>
      <w:r>
        <w:t>Clean current pipeline</w:t>
      </w:r>
    </w:p>
    <w:p>
      <w:pPr>
        <w:pStyle w:val="ListBullet"/>
      </w:pPr>
      <w:r>
        <w:t>Every kept opportunity has a dated next action</w:t>
      </w:r>
    </w:p>
    <w:p>
      <w:pPr>
        <w:pStyle w:val="ListBullet"/>
      </w:pPr>
      <w:r>
        <w:t>Top opportunities prioritised</w:t>
      </w:r>
    </w:p>
    <w:p>
      <w:pPr>
        <w:pStyle w:val="ListBullet"/>
      </w:pPr>
      <w:r>
        <w:t>Stalled opportunities diagnosed</w:t>
      </w:r>
    </w:p>
    <w:p>
      <w:pPr>
        <w:pStyle w:val="ListBullet"/>
      </w:pPr>
      <w:r>
        <w:t>Search gaps identified</w:t>
      </w:r>
    </w:p>
    <w:p>
      <w:pPr>
        <w:pStyle w:val="ListBullet"/>
      </w:pPr>
      <w:r>
        <w:t>Day 12 follow-ups scheduled</w:t>
      </w:r>
    </w:p>
    <w:p>
      <w:pPr>
        <w:pStyle w:val="Heading1"/>
      </w:pPr>
      <w:r>
        <w:rPr>
          <w:color w:val="6C3FC5"/>
        </w:rPr>
        <w:t>Resources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Resource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Purpose</w:t>
            </w:r>
          </w:p>
        </w:tc>
      </w:tr>
      <w:tr>
        <w:tc>
          <w:tcPr>
            <w:tcW w:type="dxa" w:w="4320"/>
          </w:tcPr>
          <w:p>
            <w:r>
              <w:t>D11-R01</w:t>
            </w:r>
          </w:p>
        </w:tc>
        <w:tc>
          <w:tcPr>
            <w:tcW w:type="dxa" w:w="4320"/>
          </w:tcPr>
          <w:p>
            <w:r>
              <w:t>Pipeline Review Guide</w:t>
            </w:r>
          </w:p>
        </w:tc>
      </w:tr>
      <w:tr>
        <w:tc>
          <w:tcPr>
            <w:tcW w:type="dxa" w:w="4320"/>
          </w:tcPr>
          <w:p>
            <w:r>
              <w:t>D11-R02</w:t>
            </w:r>
          </w:p>
        </w:tc>
        <w:tc>
          <w:tcPr>
            <w:tcW w:type="dxa" w:w="4320"/>
          </w:tcPr>
          <w:p>
            <w:r>
              <w:t>Pipeline Health Checklist</w:t>
            </w:r>
          </w:p>
        </w:tc>
      </w:tr>
      <w:tr>
        <w:tc>
          <w:tcPr>
            <w:tcW w:type="dxa" w:w="4320"/>
          </w:tcPr>
          <w:p>
            <w:r>
              <w:t>D11-R03</w:t>
            </w:r>
          </w:p>
        </w:tc>
        <w:tc>
          <w:tcPr>
            <w:tcW w:type="dxa" w:w="4320"/>
          </w:tcPr>
          <w:p>
            <w:r>
              <w:t>Opportunity Prioritisation Worksheet</w:t>
            </w:r>
          </w:p>
        </w:tc>
      </w:tr>
      <w:tr>
        <w:tc>
          <w:tcPr>
            <w:tcW w:type="dxa" w:w="4320"/>
          </w:tcPr>
          <w:p>
            <w:r>
              <w:t>D11-R04</w:t>
            </w:r>
          </w:p>
        </w:tc>
        <w:tc>
          <w:tcPr>
            <w:tcW w:type="dxa" w:w="4320"/>
          </w:tcPr>
          <w:p>
            <w:r>
              <w:t>Stalled Opportunity Diagnostic</w:t>
            </w:r>
          </w:p>
        </w:tc>
      </w:tr>
      <w:tr>
        <w:tc>
          <w:tcPr>
            <w:tcW w:type="dxa" w:w="4320"/>
          </w:tcPr>
          <w:p>
            <w:r>
              <w:t>D11-R05</w:t>
            </w:r>
          </w:p>
        </w:tc>
        <w:tc>
          <w:tcPr>
            <w:tcW w:type="dxa" w:w="4320"/>
          </w:tcPr>
          <w:p>
            <w:r>
              <w:t>Search Gap Analysis</w:t>
            </w:r>
          </w:p>
        </w:tc>
      </w:tr>
      <w:tr>
        <w:tc>
          <w:tcPr>
            <w:tcW w:type="dxa" w:w="4320"/>
          </w:tcPr>
          <w:p>
            <w:r>
              <w:t>D11-R06</w:t>
            </w:r>
          </w:p>
        </w:tc>
        <w:tc>
          <w:tcPr>
            <w:tcW w:type="dxa" w:w="4320"/>
          </w:tcPr>
          <w:p>
            <w:r>
              <w:t>Pipeline Review Sprint Planner</w:t>
            </w:r>
          </w:p>
        </w:tc>
      </w:tr>
      <w:tr>
        <w:tc>
          <w:tcPr>
            <w:tcW w:type="dxa" w:w="4320"/>
          </w:tcPr>
          <w:p>
            <w:r>
              <w:t>D11-R07</w:t>
            </w:r>
          </w:p>
        </w:tc>
        <w:tc>
          <w:tcPr>
            <w:tcW w:type="dxa" w:w="4320"/>
          </w:tcPr>
          <w:p>
            <w:r>
              <w:t>Pipeline Review Dashboard</w:t>
            </w:r>
          </w:p>
        </w:tc>
      </w:tr>
    </w:tbl>
    <w:p>
      <w:pPr>
        <w:pStyle w:val="Heading1"/>
      </w:pPr>
      <w:r>
        <w:rPr>
          <w:color w:val="6C3FC5"/>
        </w:rPr>
        <w:t>Execution Sequence</w:t>
      </w:r>
    </w:p>
    <w:p>
      <w:r>
        <w:t>CLEAN → CHECK → SCORE → PRIORITISE → DIAGNOSE → IDENTIFY GAPS → SCHEDULE → EXECUTE</w:t>
      </w:r>
    </w:p>
    <w:p>
      <w:pPr>
        <w:pStyle w:val="Heading1"/>
      </w:pPr>
      <w:r>
        <w:rPr>
          <w:color w:val="6C3FC5"/>
        </w:rPr>
        <w:t>Accountability</w:t>
      </w:r>
    </w:p>
    <w:p>
      <w:pPr>
        <w:pStyle w:val="ListBullet"/>
      </w:pPr>
      <w:r>
        <w:t>Opportunities reviewed:</w:t>
      </w:r>
    </w:p>
    <w:p>
      <w:pPr>
        <w:pStyle w:val="ListBullet"/>
      </w:pPr>
      <w:r>
        <w:t>Kept:</w:t>
      </w:r>
    </w:p>
    <w:p>
      <w:pPr>
        <w:pStyle w:val="ListBullet"/>
      </w:pPr>
      <w:r>
        <w:t>Paused:</w:t>
      </w:r>
    </w:p>
    <w:p>
      <w:pPr>
        <w:pStyle w:val="ListBullet"/>
      </w:pPr>
      <w:r>
        <w:t>Dropped:</w:t>
      </w:r>
    </w:p>
    <w:p>
      <w:pPr>
        <w:pStyle w:val="ListBullet"/>
      </w:pPr>
      <w:r>
        <w:t>Top 5:</w:t>
      </w:r>
    </w:p>
    <w:p>
      <w:pPr>
        <w:pStyle w:val="ListBullet"/>
      </w:pPr>
      <w:r>
        <w:t>Stalled opportunities resolved:</w:t>
      </w:r>
    </w:p>
    <w:p>
      <w:pPr>
        <w:pStyle w:val="ListBullet"/>
      </w:pPr>
      <w:r>
        <w:t>Search gap:</w:t>
      </w:r>
    </w:p>
    <w:p>
      <w:pPr>
        <w:pStyle w:val="ListBullet"/>
      </w:pPr>
      <w:r>
        <w:t>Next actions scheduled:</w:t>
      </w:r>
    </w:p>
    <w:p>
      <w:pPr>
        <w:pStyle w:val="ListBullet"/>
      </w:pPr>
      <w:r>
        <w:t>What I learned:</w:t>
      </w:r>
    </w:p>
    <w:p>
      <w:pPr>
        <w:pStyle w:val="ListBullet"/>
      </w:pPr>
      <w:r>
        <w:t>Day 12 commitment: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