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Opportunity Navigator | Day 12 Resources</w:t>
      </w:r>
    </w:p>
    <w:p>
      <w:pPr>
        <w:jc w:val="center"/>
      </w:pPr>
      <w:r>
        <w:rPr>
          <w:i/>
        </w:rPr>
        <w:t>FOLLOW UP — Keep legitimate opportunities moving.</w:t>
      </w:r>
    </w:p>
    <w:p>
      <w:pPr>
        <w:pStyle w:val="Heading1"/>
      </w:pPr>
      <w:r>
        <w:rPr>
          <w:color w:val="6C3FC5"/>
        </w:rPr>
        <w:t>Mission</w:t>
      </w:r>
    </w:p>
    <w:p>
      <w:r>
        <w:t>Follow up professionally on applications, conversations, referrals, interviews and other pending opportunities. The goal is movement and clarity—not chasing people.</w:t>
      </w:r>
    </w:p>
    <w:p>
      <w:pPr>
        <w:pStyle w:val="Heading1"/>
      </w:pPr>
      <w:r>
        <w:rPr>
          <w:color w:val="6C3FC5"/>
        </w:rPr>
        <w:t>Outcome</w:t>
      </w:r>
    </w:p>
    <w:p>
      <w:pPr>
        <w:pStyle w:val="ListBullet"/>
      </w:pPr>
      <w:r>
        <w:t>All follow-ups due identified</w:t>
      </w:r>
    </w:p>
    <w:p>
      <w:pPr>
        <w:pStyle w:val="ListBullet"/>
      </w:pPr>
      <w:r>
        <w:t>Priority follow-ups sent</w:t>
      </w:r>
    </w:p>
    <w:p>
      <w:pPr>
        <w:pStyle w:val="ListBullet"/>
      </w:pPr>
      <w:r>
        <w:t>Responses logged</w:t>
      </w:r>
    </w:p>
    <w:p>
      <w:pPr>
        <w:pStyle w:val="ListBullet"/>
      </w:pPr>
      <w:r>
        <w:t>Next actions scheduled</w:t>
      </w:r>
    </w:p>
    <w:p>
      <w:pPr>
        <w:pStyle w:val="ListBullet"/>
      </w:pPr>
      <w:r>
        <w:t>Stale opportunities closed or reclassified</w:t>
      </w:r>
    </w:p>
    <w:p>
      <w:pPr>
        <w:pStyle w:val="ListBullet"/>
      </w:pPr>
      <w:r>
        <w:t>Interview/assessment opportunities prepared for Day 13</w:t>
      </w:r>
    </w:p>
    <w:p>
      <w:pPr>
        <w:pStyle w:val="Heading1"/>
      </w:pPr>
      <w:r>
        <w:rPr>
          <w:color w:val="6C3FC5"/>
        </w:rPr>
        <w:t>Resources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Resource</w:t>
            </w:r>
          </w:p>
        </w:tc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Purpose</w:t>
            </w:r>
          </w:p>
        </w:tc>
      </w:tr>
      <w:tr>
        <w:tc>
          <w:tcPr>
            <w:tcW w:type="dxa" w:w="4320"/>
          </w:tcPr>
          <w:p>
            <w:r>
              <w:t>D12-R01</w:t>
            </w:r>
          </w:p>
        </w:tc>
        <w:tc>
          <w:tcPr>
            <w:tcW w:type="dxa" w:w="4320"/>
          </w:tcPr>
          <w:p>
            <w:r>
              <w:t>Follow-Up Strategy Guide</w:t>
            </w:r>
          </w:p>
        </w:tc>
      </w:tr>
      <w:tr>
        <w:tc>
          <w:tcPr>
            <w:tcW w:type="dxa" w:w="4320"/>
          </w:tcPr>
          <w:p>
            <w:r>
              <w:t>D12-R02</w:t>
            </w:r>
          </w:p>
        </w:tc>
        <w:tc>
          <w:tcPr>
            <w:tcW w:type="dxa" w:w="4320"/>
          </w:tcPr>
          <w:p>
            <w:r>
              <w:t>Follow-Up Readiness Checklist</w:t>
            </w:r>
          </w:p>
        </w:tc>
      </w:tr>
      <w:tr>
        <w:tc>
          <w:tcPr>
            <w:tcW w:type="dxa" w:w="4320"/>
          </w:tcPr>
          <w:p>
            <w:r>
              <w:t>D12-R03</w:t>
            </w:r>
          </w:p>
        </w:tc>
        <w:tc>
          <w:tcPr>
            <w:tcW w:type="dxa" w:w="4320"/>
          </w:tcPr>
          <w:p>
            <w:r>
              <w:t>Follow-Up Message Templates</w:t>
            </w:r>
          </w:p>
        </w:tc>
      </w:tr>
      <w:tr>
        <w:tc>
          <w:tcPr>
            <w:tcW w:type="dxa" w:w="4320"/>
          </w:tcPr>
          <w:p>
            <w:r>
              <w:t>D12-R04</w:t>
            </w:r>
          </w:p>
        </w:tc>
        <w:tc>
          <w:tcPr>
            <w:tcW w:type="dxa" w:w="4320"/>
          </w:tcPr>
          <w:p>
            <w:r>
              <w:t>Follow-Up Decision Tree</w:t>
            </w:r>
          </w:p>
        </w:tc>
      </w:tr>
      <w:tr>
        <w:tc>
          <w:tcPr>
            <w:tcW w:type="dxa" w:w="4320"/>
          </w:tcPr>
          <w:p>
            <w:r>
              <w:t>D12-R05</w:t>
            </w:r>
          </w:p>
        </w:tc>
        <w:tc>
          <w:tcPr>
            <w:tcW w:type="dxa" w:w="4320"/>
          </w:tcPr>
          <w:p>
            <w:r>
              <w:t>Follow-Up Tracker Guide</w:t>
            </w:r>
          </w:p>
        </w:tc>
      </w:tr>
      <w:tr>
        <w:tc>
          <w:tcPr>
            <w:tcW w:type="dxa" w:w="4320"/>
          </w:tcPr>
          <w:p>
            <w:r>
              <w:t>D12-R06</w:t>
            </w:r>
          </w:p>
        </w:tc>
        <w:tc>
          <w:tcPr>
            <w:tcW w:type="dxa" w:w="4320"/>
          </w:tcPr>
          <w:p>
            <w:r>
              <w:t>Follow-Up Sprint Planner</w:t>
            </w:r>
          </w:p>
        </w:tc>
      </w:tr>
      <w:tr>
        <w:tc>
          <w:tcPr>
            <w:tcW w:type="dxa" w:w="4320"/>
          </w:tcPr>
          <w:p>
            <w:r>
              <w:t>D12-R07</w:t>
            </w:r>
          </w:p>
        </w:tc>
        <w:tc>
          <w:tcPr>
            <w:tcW w:type="dxa" w:w="4320"/>
          </w:tcPr>
          <w:p>
            <w:r>
              <w:t>Follow-Up Tracker &amp; Dashboard</w:t>
            </w:r>
          </w:p>
        </w:tc>
      </w:tr>
    </w:tbl>
    <w:p>
      <w:pPr>
        <w:pStyle w:val="Heading1"/>
      </w:pPr>
      <w:r>
        <w:rPr>
          <w:color w:val="6C3FC5"/>
        </w:rPr>
        <w:t>Execution Sequence</w:t>
      </w:r>
    </w:p>
    <w:p>
      <w:r>
        <w:t>REVIEW → PRIORITISE → FOLLOW UP → LOG → RESPOND → SCHEDULE → CLOSE/CONTINUE</w:t>
      </w:r>
    </w:p>
    <w:p>
      <w:pPr>
        <w:pStyle w:val="Heading1"/>
      </w:pPr>
      <w:r>
        <w:rPr>
          <w:color w:val="6C3FC5"/>
        </w:rPr>
        <w:t>Accountability</w:t>
      </w:r>
    </w:p>
    <w:p>
      <w:pPr>
        <w:pStyle w:val="ListBullet"/>
      </w:pPr>
      <w:r>
        <w:t>Follow-ups due:</w:t>
      </w:r>
    </w:p>
    <w:p>
      <w:pPr>
        <w:pStyle w:val="ListBullet"/>
      </w:pPr>
      <w:r>
        <w:t>Follow-ups sent:</w:t>
      </w:r>
    </w:p>
    <w:p>
      <w:pPr>
        <w:pStyle w:val="ListBullet"/>
      </w:pPr>
      <w:r>
        <w:t>Responses received:</w:t>
      </w:r>
    </w:p>
    <w:p>
      <w:pPr>
        <w:pStyle w:val="ListBullet"/>
      </w:pPr>
      <w:r>
        <w:t>Next stages scheduled:</w:t>
      </w:r>
    </w:p>
    <w:p>
      <w:pPr>
        <w:pStyle w:val="ListBullet"/>
      </w:pPr>
      <w:r>
        <w:t>Stale loops closed:</w:t>
      </w:r>
    </w:p>
    <w:p>
      <w:pPr>
        <w:pStyle w:val="ListBullet"/>
      </w:pPr>
      <w:r>
        <w:t>Key learning:</w:t>
      </w:r>
    </w:p>
    <w:p>
      <w:pPr>
        <w:pStyle w:val="ListBullet"/>
      </w:pPr>
      <w:r>
        <w:t>Day 13 commitment: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