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12 | 90-Minute Follow-Up Sprint Planner</w:t>
      </w:r>
    </w:p>
    <w:p>
      <w:pPr>
        <w:jc w:val="center"/>
      </w:pPr>
      <w:r>
        <w:rPr>
          <w:i/>
        </w:rPr>
        <w:t>Move your pending opportunities forward.</w:t>
      </w:r>
    </w:p>
    <w:p>
      <w:pPr>
        <w:pStyle w:val="Heading1"/>
      </w:pPr>
      <w:r>
        <w:rPr>
          <w:color w:val="6C3FC5"/>
        </w:rPr>
        <w:t>Sprint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Done</w:t>
            </w:r>
          </w:p>
        </w:tc>
      </w:tr>
      <w:tr>
        <w:tc>
          <w:tcPr>
            <w:tcW w:type="dxa" w:w="2880"/>
          </w:tcPr>
          <w:p>
            <w:r>
              <w:t>0–15 min</w:t>
            </w:r>
          </w:p>
        </w:tc>
        <w:tc>
          <w:tcPr>
            <w:tcW w:type="dxa" w:w="2880"/>
          </w:tcPr>
          <w:p>
            <w:r>
              <w:t>Review pipeline and filter follow-ups due.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15–30 min</w:t>
            </w:r>
          </w:p>
        </w:tc>
        <w:tc>
          <w:tcPr>
            <w:tcW w:type="dxa" w:w="2880"/>
          </w:tcPr>
          <w:p>
            <w:r>
              <w:t>Group by application, recruiter, networking, referral and interview.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30–60 min</w:t>
            </w:r>
          </w:p>
        </w:tc>
        <w:tc>
          <w:tcPr>
            <w:tcW w:type="dxa" w:w="2880"/>
          </w:tcPr>
          <w:p>
            <w:r>
              <w:t>Send personalised follow-ups to highest-priority contacts.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60–75 min</w:t>
            </w:r>
          </w:p>
        </w:tc>
        <w:tc>
          <w:tcPr>
            <w:tcW w:type="dxa" w:w="2880"/>
          </w:tcPr>
          <w:p>
            <w:r>
              <w:t>Log responses, waiting dates and next actions.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  <w:tr>
        <w:tc>
          <w:tcPr>
            <w:tcW w:type="dxa" w:w="2880"/>
          </w:tcPr>
          <w:p>
            <w:r>
              <w:t>75–90 min</w:t>
            </w:r>
          </w:p>
        </w:tc>
        <w:tc>
          <w:tcPr>
            <w:tcW w:type="dxa" w:w="2880"/>
          </w:tcPr>
          <w:p>
            <w:r>
              <w:t>Prepare promised materials and close stale loops.</w:t>
            </w:r>
          </w:p>
        </w:tc>
        <w:tc>
          <w:tcPr>
            <w:tcW w:type="dxa" w:w="2880"/>
          </w:tcPr>
          <w:p>
            <w:r>
              <w:t>☐</w:t>
            </w:r>
          </w:p>
        </w:tc>
      </w:tr>
    </w:tbl>
    <w:p>
      <w:pPr>
        <w:pStyle w:val="Heading1"/>
      </w:pPr>
      <w:r>
        <w:rPr>
          <w:color w:val="6C3FC5"/>
        </w:rPr>
        <w:t>Priority Follow-Ups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Contact / Company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Opportunity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Reason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Sent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Response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Next Action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Date</w:t>
            </w:r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</w:tbl>
    <w:p>
      <w:pPr>
        <w:pStyle w:val="Heading1"/>
      </w:pPr>
      <w:r>
        <w:rPr>
          <w:color w:val="6C3FC5"/>
        </w:rPr>
        <w:t>Reflection</w:t>
      </w:r>
    </w:p>
    <w:p>
      <w:pPr>
        <w:pStyle w:val="ListBullet"/>
      </w:pPr>
      <w:r>
        <w:t>Which follow-up had the clearest purpose?</w:t>
      </w:r>
    </w:p>
    <w:p>
      <w:pPr>
        <w:pStyle w:val="ListBullet"/>
      </w:pPr>
      <w:r>
        <w:t>Which opportunity needs a different approach?</w:t>
      </w:r>
    </w:p>
    <w:p>
      <w:pPr>
        <w:pStyle w:val="ListBullet"/>
      </w:pPr>
      <w:r>
        <w:t>What did I learn from the responses?</w:t>
      </w:r>
    </w:p>
    <w:p>
      <w:pPr>
        <w:pStyle w:val="ListBullet"/>
      </w:pPr>
      <w:r>
        <w:t>What should I stop chasing?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