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10 | Referral Sprint Planner</w:t>
      </w:r>
    </w:p>
    <w:p>
      <w:pPr>
        <w:jc w:val="center"/>
      </w:pPr>
      <w:r>
        <w:rPr>
          <w:i/>
          <w:color w:val="666666"/>
          <w:sz w:val="20"/>
        </w:rPr>
        <w:t>A 90-minute focused referral activation session.</w:t>
      </w:r>
    </w:p>
    <w:p>
      <w:pPr>
        <w:pStyle w:val="Heading1"/>
      </w:pPr>
      <w:r>
        <w:rPr>
          <w:color w:val="6C3FC5"/>
        </w:rPr>
        <w:t>Sprint Outcome</w:t>
      </w:r>
    </w:p>
    <w:p>
      <w:r>
        <w:t>By the end of the sprint, I will have identified priority referral candidates, sent personalised requests and scheduled the next actions.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2880"/>
          </w:tcPr>
          <w:p>
            <w:r>
              <w:t>0–15 min</w:t>
            </w:r>
          </w:p>
        </w:tc>
        <w:tc>
          <w:tcPr>
            <w:tcW w:type="dxa" w:w="2880"/>
          </w:tcPr>
          <w:p>
            <w:r>
              <w:t>Review target roles and identify the most relevant opportunity/companies.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15–30 min</w:t>
            </w:r>
          </w:p>
        </w:tc>
        <w:tc>
          <w:tcPr>
            <w:tcW w:type="dxa" w:w="2880"/>
          </w:tcPr>
          <w:p>
            <w:r>
              <w:t>Build or refine your 10-person referral candidate list.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30–45 min</w:t>
            </w:r>
          </w:p>
        </w:tc>
        <w:tc>
          <w:tcPr>
            <w:tcW w:type="dxa" w:w="2880"/>
          </w:tcPr>
          <w:p>
            <w:r>
              <w:t>Select your top 5 candidates and decide the right ask for each.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45–65 min</w:t>
            </w:r>
          </w:p>
        </w:tc>
        <w:tc>
          <w:tcPr>
            <w:tcW w:type="dxa" w:w="2880"/>
          </w:tcPr>
          <w:p>
            <w:r>
              <w:t>Send at least 3 personalised referral/introduction requests.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65–75 min</w:t>
            </w:r>
          </w:p>
        </w:tc>
        <w:tc>
          <w:tcPr>
            <w:tcW w:type="dxa" w:w="2880"/>
          </w:tcPr>
          <w:p>
            <w:r>
              <w:t>Record each request and expected follow-up date.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75–90 min</w:t>
            </w:r>
          </w:p>
        </w:tc>
        <w:tc>
          <w:tcPr>
            <w:tcW w:type="dxa" w:w="2880"/>
          </w:tcPr>
          <w:p>
            <w:r>
              <w:t>Review responses, prepare for conversations and identify one additional route to opportunity.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</w:tbl>
    <w:p>
      <w:pPr>
        <w:pStyle w:val="Heading1"/>
      </w:pPr>
      <w:r>
        <w:rPr>
          <w:color w:val="6C3FC5"/>
        </w:rPr>
        <w:t>Today's Top 3 Asks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6C3FC5"/>
          </w:tcPr>
          <w:p>
            <w:r>
              <w:rPr>
                <w:b/>
                <w:color w:val="FFFFFF"/>
              </w:rPr>
              <w:t>Person</w:t>
            </w:r>
          </w:p>
        </w:tc>
        <w:tc>
          <w:tcPr>
            <w:tcW w:type="dxa" w:w="2160"/>
            <w:shd w:fill="6C3FC5"/>
          </w:tcPr>
          <w:p>
            <w:r>
              <w:rPr>
                <w:b/>
                <w:color w:val="FFFFFF"/>
              </w:rPr>
              <w:t>Specific Ask</w:t>
            </w:r>
          </w:p>
        </w:tc>
        <w:tc>
          <w:tcPr>
            <w:tcW w:type="dxa" w:w="2160"/>
            <w:shd w:fill="6C3FC5"/>
          </w:tcPr>
          <w:p>
            <w:r>
              <w:rPr>
                <w:b/>
                <w:color w:val="FFFFFF"/>
              </w:rPr>
              <w:t>Message Sent?</w:t>
            </w:r>
          </w:p>
        </w:tc>
        <w:tc>
          <w:tcPr>
            <w:tcW w:type="dxa" w:w="2160"/>
            <w:shd w:fill="6C3FC5"/>
          </w:tcPr>
          <w:p>
            <w:r>
              <w:rPr>
                <w:b/>
                <w:color w:val="FFFFFF"/>
              </w:rPr>
              <w:t>Follow-up Date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rPr>
          <w:color w:val="6C3FC5"/>
        </w:rPr>
        <w:t>End-of-Sprint Reflection</w:t>
      </w:r>
    </w:p>
    <w:p>
      <w:pPr>
        <w:pStyle w:val="ListBullet"/>
      </w:pPr>
      <w:r>
        <w:t>What made my strongest ask specific?</w:t>
      </w:r>
    </w:p>
    <w:p>
      <w:pPr>
        <w:pStyle w:val="ListBullet"/>
      </w:pPr>
      <w:r>
        <w:t>Which relationship needs nurturing before I ask?</w:t>
      </w:r>
    </w:p>
    <w:p>
      <w:pPr>
        <w:pStyle w:val="ListBullet"/>
      </w:pPr>
      <w:r>
        <w:t>What did I learn about my target market?</w:t>
      </w:r>
    </w:p>
    <w:p>
      <w:pPr>
        <w:pStyle w:val="ListBullet"/>
      </w:pPr>
      <w:r>
        <w:t>What is my next opportunity-access action?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